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DF" w:rsidRPr="004E428A" w:rsidRDefault="000274DF" w:rsidP="000274DF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 w:rsidRPr="004E428A">
        <w:rPr>
          <w:rFonts w:ascii="Arial" w:hAnsi="Arial" w:cs="Arial"/>
          <w:b/>
          <w:bCs/>
          <w:u w:val="single"/>
        </w:rPr>
        <w:t>Green Living Plan for Thame Working Group – Terms of Reference</w:t>
      </w:r>
    </w:p>
    <w:p w:rsidR="00761847" w:rsidRDefault="00761847" w:rsidP="000274DF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  Green Living Plan for Thame Working Group</w:t>
      </w:r>
    </w:p>
    <w:p w:rsidR="000274DF" w:rsidRPr="004E428A" w:rsidRDefault="000274DF" w:rsidP="000274DF">
      <w:p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>Background</w:t>
      </w:r>
    </w:p>
    <w:p w:rsidR="000274DF" w:rsidRPr="004E428A" w:rsidRDefault="000274DF" w:rsidP="000274DF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At the Neighbourhood Plan Continuity Committee meeting held on 20 October 2015, it was </w:t>
      </w:r>
      <w:proofErr w:type="spellStart"/>
      <w:r w:rsidRPr="004E428A">
        <w:rPr>
          <w:rFonts w:ascii="Arial" w:hAnsi="Arial" w:cs="Arial"/>
        </w:rPr>
        <w:t>minuted</w:t>
      </w:r>
      <w:proofErr w:type="spellEnd"/>
      <w:r w:rsidRPr="004E428A">
        <w:rPr>
          <w:rFonts w:ascii="Arial" w:hAnsi="Arial" w:cs="Arial"/>
        </w:rPr>
        <w:t xml:space="preserve"> and resolved to form a Green Living Plan Working Group.</w:t>
      </w:r>
    </w:p>
    <w:p w:rsidR="00C740A9" w:rsidRDefault="000B0536" w:rsidP="0086411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had previously been agreed that </w:t>
      </w:r>
      <w:proofErr w:type="spellStart"/>
      <w:r w:rsidR="0086411A">
        <w:rPr>
          <w:rFonts w:ascii="Arial" w:hAnsi="Arial" w:cs="Arial"/>
          <w:lang w:val="en-US"/>
        </w:rPr>
        <w:t>Thame</w:t>
      </w:r>
      <w:proofErr w:type="spellEnd"/>
      <w:r w:rsidR="0086411A">
        <w:rPr>
          <w:rFonts w:ascii="Arial" w:hAnsi="Arial" w:cs="Arial"/>
          <w:lang w:val="en-US"/>
        </w:rPr>
        <w:t xml:space="preserve"> RSA would</w:t>
      </w:r>
      <w:r w:rsidR="009759DB" w:rsidRPr="00C740A9">
        <w:rPr>
          <w:rFonts w:ascii="Arial" w:hAnsi="Arial" w:cs="Arial"/>
          <w:lang w:val="en-US"/>
        </w:rPr>
        <w:t xml:space="preserve"> take the Green Living Pl</w:t>
      </w:r>
      <w:r w:rsidR="0086411A">
        <w:rPr>
          <w:rFonts w:ascii="Arial" w:hAnsi="Arial" w:cs="Arial"/>
          <w:lang w:val="en-US"/>
        </w:rPr>
        <w:t>an (GLP) forward.</w:t>
      </w:r>
    </w:p>
    <w:p w:rsidR="000274DF" w:rsidRPr="004E428A" w:rsidRDefault="000274DF" w:rsidP="000274DF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The Green Living Plan is a new initiative set out in the Thame Neighbourhood Plan that will bring together new and existing projects and initiatives to provide a co-ordinated approach to sustainable living in Thame.</w:t>
      </w:r>
    </w:p>
    <w:p w:rsidR="000274DF" w:rsidRPr="004E428A" w:rsidRDefault="000274DF" w:rsidP="000274DF">
      <w:p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>Members:</w:t>
      </w:r>
    </w:p>
    <w:p w:rsidR="000274DF" w:rsidRPr="004E428A" w:rsidRDefault="000274DF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>Cllr Helena Fickling (Chair)</w:t>
      </w:r>
    </w:p>
    <w:p w:rsidR="000274DF" w:rsidRPr="004E428A" w:rsidRDefault="000274DF" w:rsidP="009759D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>Cllr Linda Emery</w:t>
      </w:r>
    </w:p>
    <w:p w:rsidR="000274DF" w:rsidRPr="004E428A" w:rsidRDefault="000274DF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>Gr</w:t>
      </w:r>
      <w:r w:rsidR="009759DB" w:rsidRPr="004E428A">
        <w:rPr>
          <w:rFonts w:ascii="Arial" w:hAnsi="Arial" w:cs="Arial"/>
        </w:rPr>
        <w:t>aham Hunt (Town Clerk) or Andrea Oughton (Committee Services Officer)</w:t>
      </w:r>
    </w:p>
    <w:p w:rsidR="00B27A3B" w:rsidRDefault="00B27A3B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Graeme Markland (NPCO)</w:t>
      </w:r>
    </w:p>
    <w:p w:rsidR="000274DF" w:rsidRDefault="000274DF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>Charles Boundy (RSA)</w:t>
      </w:r>
    </w:p>
    <w:p w:rsidR="004B6358" w:rsidRPr="004E428A" w:rsidRDefault="004B6358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Transport Plan Working Group representative</w:t>
      </w:r>
    </w:p>
    <w:p w:rsidR="000274DF" w:rsidRPr="004E428A" w:rsidRDefault="000274DF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>Other members of the Royal Society of Arts (RSA) Group as required</w:t>
      </w:r>
    </w:p>
    <w:p w:rsidR="000274DF" w:rsidRPr="004E428A" w:rsidRDefault="00814B5A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>Professional to advise / deal with technical planning issues as required</w:t>
      </w:r>
    </w:p>
    <w:p w:rsidR="00814B5A" w:rsidRDefault="00814B5A" w:rsidP="00027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>Professional adviser on sustainability issues as required</w:t>
      </w:r>
    </w:p>
    <w:p w:rsidR="004B6358" w:rsidRPr="00010316" w:rsidRDefault="004B6358" w:rsidP="004B635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10316">
        <w:rPr>
          <w:rFonts w:ascii="Arial" w:hAnsi="Arial" w:cs="Arial"/>
        </w:rPr>
        <w:t xml:space="preserve">Tim Dabbs (21st Century Thame), Alice Hemmings (CAG), Gavin </w:t>
      </w:r>
      <w:proofErr w:type="spellStart"/>
      <w:r w:rsidRPr="00010316">
        <w:rPr>
          <w:rFonts w:ascii="Arial" w:hAnsi="Arial" w:cs="Arial"/>
        </w:rPr>
        <w:t>Bollan</w:t>
      </w:r>
      <w:proofErr w:type="spellEnd"/>
      <w:r w:rsidRPr="00010316">
        <w:rPr>
          <w:rFonts w:ascii="Arial" w:hAnsi="Arial" w:cs="Arial"/>
        </w:rPr>
        <w:t>, Kath Daly and Sarah Sanderson</w:t>
      </w:r>
    </w:p>
    <w:p w:rsidR="00B27A3B" w:rsidRDefault="00B27A3B" w:rsidP="00010316">
      <w:pPr>
        <w:pStyle w:val="ListParagraph"/>
        <w:numPr>
          <w:ilvl w:val="0"/>
          <w:numId w:val="1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8B6EC6">
        <w:rPr>
          <w:rFonts w:ascii="Arial" w:hAnsi="Arial" w:cs="Arial"/>
        </w:rPr>
        <w:t>Additional Councillors</w:t>
      </w:r>
      <w:r>
        <w:rPr>
          <w:rFonts w:ascii="Arial" w:hAnsi="Arial" w:cs="Arial"/>
        </w:rPr>
        <w:t xml:space="preserve">, Officers, Resident Association representatives, </w:t>
      </w:r>
      <w:r w:rsidRPr="008B6EC6">
        <w:rPr>
          <w:rFonts w:ascii="Arial" w:hAnsi="Arial" w:cs="Arial"/>
        </w:rPr>
        <w:t xml:space="preserve">community members </w:t>
      </w:r>
      <w:r>
        <w:rPr>
          <w:rFonts w:ascii="Arial" w:hAnsi="Arial" w:cs="Arial"/>
        </w:rPr>
        <w:t xml:space="preserve">/ members of the public </w:t>
      </w:r>
      <w:r w:rsidRPr="008B6EC6">
        <w:rPr>
          <w:rFonts w:ascii="Arial" w:hAnsi="Arial" w:cs="Arial"/>
        </w:rPr>
        <w:t>to be invited as and when their expertise or input is required.</w:t>
      </w:r>
    </w:p>
    <w:p w:rsidR="000274DF" w:rsidRPr="004E428A" w:rsidRDefault="00814B5A" w:rsidP="000274DF">
      <w:p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Secretarial support </w:t>
      </w:r>
      <w:r w:rsidR="000274DF" w:rsidRPr="004E428A">
        <w:rPr>
          <w:rFonts w:ascii="Arial" w:hAnsi="Arial" w:cs="Arial"/>
        </w:rPr>
        <w:t>(agendas, meeting notes, circulation of informat</w:t>
      </w:r>
      <w:r w:rsidRPr="004E428A">
        <w:rPr>
          <w:rFonts w:ascii="Arial" w:hAnsi="Arial" w:cs="Arial"/>
        </w:rPr>
        <w:t>ion) is p</w:t>
      </w:r>
      <w:r w:rsidR="009759DB" w:rsidRPr="004E428A">
        <w:rPr>
          <w:rFonts w:ascii="Arial" w:hAnsi="Arial" w:cs="Arial"/>
        </w:rPr>
        <w:t>rovided by Graham Hunt / Andrea Oug</w:t>
      </w:r>
      <w:r w:rsidR="00225D2E">
        <w:rPr>
          <w:rFonts w:ascii="Arial" w:hAnsi="Arial" w:cs="Arial"/>
        </w:rPr>
        <w:t>hton</w:t>
      </w:r>
      <w:r w:rsidR="00B27A3B">
        <w:rPr>
          <w:rFonts w:ascii="Arial" w:hAnsi="Arial" w:cs="Arial"/>
        </w:rPr>
        <w:t xml:space="preserve"> / Graeme Markland.</w:t>
      </w:r>
    </w:p>
    <w:p w:rsidR="000274DF" w:rsidRPr="004E428A" w:rsidRDefault="00814B5A" w:rsidP="000274DF">
      <w:p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Quorum is three members of the group, including two </w:t>
      </w:r>
      <w:r w:rsidR="000274DF" w:rsidRPr="004E428A">
        <w:rPr>
          <w:rFonts w:ascii="Arial" w:hAnsi="Arial" w:cs="Arial"/>
        </w:rPr>
        <w:t>Councillors.</w:t>
      </w:r>
    </w:p>
    <w:p w:rsidR="000274DF" w:rsidRPr="004E428A" w:rsidRDefault="00814B5A" w:rsidP="000274DF">
      <w:p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>Goals:</w:t>
      </w:r>
    </w:p>
    <w:p w:rsidR="000274DF" w:rsidRPr="004E428A" w:rsidRDefault="00814B5A" w:rsidP="00814B5A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To develop the </w:t>
      </w:r>
      <w:r w:rsidR="000274DF" w:rsidRPr="004E428A">
        <w:rPr>
          <w:rFonts w:ascii="Arial" w:hAnsi="Arial" w:cs="Arial"/>
        </w:rPr>
        <w:t>Green Living Plan for Thame with the aim of making it a pleasant, sustainable place to live and work as envisaged in the Thame Neighbourhood plan, and delivery strategy.</w:t>
      </w:r>
    </w:p>
    <w:p w:rsidR="000274DF" w:rsidRPr="004E428A" w:rsidRDefault="000274DF" w:rsidP="00814B5A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With particular emphasis on:</w:t>
      </w:r>
    </w:p>
    <w:p w:rsidR="000274DF" w:rsidRPr="004E428A" w:rsidRDefault="00814B5A" w:rsidP="004E428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White and Brown </w:t>
      </w:r>
      <w:r w:rsidR="000274DF" w:rsidRPr="004E428A">
        <w:rPr>
          <w:rFonts w:ascii="Arial" w:hAnsi="Arial" w:cs="Arial"/>
        </w:rPr>
        <w:t>- Encouraging reduction of energy use, water use, pollution and</w:t>
      </w:r>
      <w:r w:rsidRPr="004E428A">
        <w:rPr>
          <w:rFonts w:ascii="Arial" w:hAnsi="Arial" w:cs="Arial"/>
        </w:rPr>
        <w:t xml:space="preserve"> waste including in pedestrian </w:t>
      </w:r>
      <w:r w:rsidR="000274DF" w:rsidRPr="004E428A">
        <w:rPr>
          <w:rFonts w:ascii="Arial" w:hAnsi="Arial" w:cs="Arial"/>
        </w:rPr>
        <w:t>and cycle travel within Thame, transport, buildings both private, public, community and commercial and activities of all kinds.</w:t>
      </w:r>
    </w:p>
    <w:p w:rsidR="000274DF" w:rsidRPr="004E428A" w:rsidRDefault="000274DF" w:rsidP="004E428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Green - Enhancing, developing, protecting Thame's and the surrounding countryside's green infrastructure, including public open spaces, open land, food production, opportunities for exercise.</w:t>
      </w:r>
    </w:p>
    <w:p w:rsidR="000274DF" w:rsidRPr="004E428A" w:rsidRDefault="000274DF" w:rsidP="004E428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Blue - Enhancing and protecting Thame's water courses, ditches and ponds</w:t>
      </w:r>
    </w:p>
    <w:p w:rsidR="000274DF" w:rsidRPr="004E428A" w:rsidRDefault="000274DF" w:rsidP="004E428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Red - loc</w:t>
      </w:r>
      <w:r w:rsidR="00814B5A" w:rsidRPr="004E428A">
        <w:rPr>
          <w:rFonts w:ascii="Arial" w:hAnsi="Arial" w:cs="Arial"/>
        </w:rPr>
        <w:t xml:space="preserve">al power generation &amp; capture, </w:t>
      </w:r>
      <w:r w:rsidRPr="004E428A">
        <w:rPr>
          <w:rFonts w:ascii="Arial" w:hAnsi="Arial" w:cs="Arial"/>
        </w:rPr>
        <w:t>use of energy etc.</w:t>
      </w:r>
    </w:p>
    <w:p w:rsidR="000274DF" w:rsidRPr="004E428A" w:rsidRDefault="00814B5A" w:rsidP="000274DF">
      <w:p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 xml:space="preserve">Specific </w:t>
      </w:r>
      <w:r w:rsidR="000274DF" w:rsidRPr="004E428A">
        <w:rPr>
          <w:rFonts w:ascii="Arial" w:hAnsi="Arial" w:cs="Arial"/>
          <w:b/>
          <w:bCs/>
        </w:rPr>
        <w:t>Neighbourhood Plan Policies</w:t>
      </w:r>
      <w:r w:rsidRPr="004E428A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00"/>
      </w:tblGrid>
      <w:tr w:rsidR="00814B5A" w:rsidRPr="004E428A" w:rsidTr="00814B5A">
        <w:tc>
          <w:tcPr>
            <w:tcW w:w="1271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H4</w:t>
            </w:r>
          </w:p>
        </w:tc>
        <w:tc>
          <w:tcPr>
            <w:tcW w:w="8300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Integrate allocated site -Transport Strategies produced by developers to be integrated with Green Living Plan</w:t>
            </w:r>
          </w:p>
        </w:tc>
      </w:tr>
      <w:tr w:rsidR="00814B5A" w:rsidRPr="004E428A" w:rsidTr="00814B5A">
        <w:tc>
          <w:tcPr>
            <w:tcW w:w="1271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H5</w:t>
            </w:r>
          </w:p>
        </w:tc>
        <w:tc>
          <w:tcPr>
            <w:tcW w:w="8300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Integrate Windfall sites - Travel plans (Transport Strategies) produced by developers to be shared with  Green Living Plan</w:t>
            </w:r>
          </w:p>
        </w:tc>
      </w:tr>
      <w:tr w:rsidR="00814B5A" w:rsidRPr="004E428A" w:rsidTr="00814B5A">
        <w:tc>
          <w:tcPr>
            <w:tcW w:w="1271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GA1</w:t>
            </w:r>
          </w:p>
        </w:tc>
        <w:tc>
          <w:tcPr>
            <w:tcW w:w="8300" w:type="dxa"/>
          </w:tcPr>
          <w:p w:rsidR="00814B5A" w:rsidRPr="004E428A" w:rsidRDefault="00814B5A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New development to provide good pedestrian and cycle connections to the Town Centre and other local destinations.  Developers' Travel plans to be shared with Green Living Plan</w:t>
            </w:r>
          </w:p>
        </w:tc>
      </w:tr>
      <w:tr w:rsidR="00814B5A" w:rsidRPr="004E428A" w:rsidTr="00814B5A">
        <w:tc>
          <w:tcPr>
            <w:tcW w:w="1271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GA2</w:t>
            </w:r>
          </w:p>
        </w:tc>
        <w:tc>
          <w:tcPr>
            <w:tcW w:w="8300" w:type="dxa"/>
          </w:tcPr>
          <w:p w:rsidR="00814B5A" w:rsidRPr="004E428A" w:rsidRDefault="00814B5A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 xml:space="preserve">Include a strategy for improving pedestrian and cycle connections within Thame in </w:t>
            </w:r>
            <w:r w:rsidRPr="004E428A">
              <w:rPr>
                <w:rFonts w:ascii="Arial" w:hAnsi="Arial" w:cs="Arial"/>
              </w:rPr>
              <w:lastRenderedPageBreak/>
              <w:t>a Green Living Plan.  See delivery mechanisms.</w:t>
            </w:r>
          </w:p>
        </w:tc>
      </w:tr>
      <w:tr w:rsidR="00814B5A" w:rsidRPr="004E428A" w:rsidTr="00814B5A">
        <w:tc>
          <w:tcPr>
            <w:tcW w:w="1271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lastRenderedPageBreak/>
              <w:t>GA3</w:t>
            </w:r>
          </w:p>
        </w:tc>
        <w:tc>
          <w:tcPr>
            <w:tcW w:w="8300" w:type="dxa"/>
          </w:tcPr>
          <w:p w:rsidR="00814B5A" w:rsidRPr="004E428A" w:rsidRDefault="00814B5A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 xml:space="preserve">Developer contributions required to support the provision of a cycle route to </w:t>
            </w:r>
            <w:proofErr w:type="spellStart"/>
            <w:r w:rsidRPr="004E428A">
              <w:rPr>
                <w:rFonts w:ascii="Arial" w:hAnsi="Arial" w:cs="Arial"/>
              </w:rPr>
              <w:t>Haddenham</w:t>
            </w:r>
            <w:proofErr w:type="spellEnd"/>
            <w:r w:rsidRPr="004E428A">
              <w:rPr>
                <w:rFonts w:ascii="Arial" w:hAnsi="Arial" w:cs="Arial"/>
              </w:rPr>
              <w:t xml:space="preserve"> &amp; Thame Parkway Station</w:t>
            </w:r>
          </w:p>
        </w:tc>
      </w:tr>
      <w:tr w:rsidR="00814B5A" w:rsidRPr="004E428A" w:rsidTr="00814B5A">
        <w:tc>
          <w:tcPr>
            <w:tcW w:w="1271" w:type="dxa"/>
          </w:tcPr>
          <w:p w:rsidR="00814B5A" w:rsidRPr="004E428A" w:rsidRDefault="00814B5A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GA4</w:t>
            </w:r>
          </w:p>
        </w:tc>
        <w:tc>
          <w:tcPr>
            <w:tcW w:w="8300" w:type="dxa"/>
          </w:tcPr>
          <w:p w:rsidR="00814B5A" w:rsidRPr="004E428A" w:rsidRDefault="00814B5A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Encourage better planning of public transport - GLP can be used to set targets drawing on site specific Travel Plans</w:t>
            </w:r>
          </w:p>
        </w:tc>
      </w:tr>
      <w:tr w:rsidR="00B31BFD" w:rsidRPr="004E428A" w:rsidTr="00814B5A"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ESDQ1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Protect existing open spaces</w:t>
            </w:r>
          </w:p>
        </w:tc>
      </w:tr>
      <w:tr w:rsidR="00B31BFD" w:rsidRPr="004E428A" w:rsidTr="00814B5A"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ESDQ2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Locate new open spaces so that they connect with other open spaces</w:t>
            </w:r>
          </w:p>
        </w:tc>
      </w:tr>
      <w:tr w:rsidR="00B31BFD" w:rsidRPr="004E428A" w:rsidTr="00814B5A"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ESDQ3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Provide new allotments.  GLP Monitor provision by developers against planning applications.</w:t>
            </w:r>
          </w:p>
        </w:tc>
      </w:tr>
      <w:tr w:rsidR="00B31BFD" w:rsidRPr="004E428A" w:rsidTr="00814B5A"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ESDQ4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Provide public Open spaces on windfall sites.  GLP to monitor compliance</w:t>
            </w:r>
          </w:p>
        </w:tc>
      </w:tr>
      <w:tr w:rsidR="00B31BFD" w:rsidRPr="004E428A" w:rsidTr="00814B5A"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ESDQ8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Improve open spaces within Lee Park.  GLP to monitor for consistency across Thame.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ESDQ9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Sites C, D &amp; F to provide riverside walks within natural public open space. GLP to monitor compliance by developers.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ESDQ11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Incorporate SUDS into new development GLP to monitor performance adjacent to water courses to safeguard public access.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ESDQ13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GLP to monitor standards for homes and ask SODC to impose enhanced building regulations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ESDQ14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Produce a Green Living Plan see Delivery Mechanism for some details of the Green Living Plan.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ESDQ21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Maintain visual connections to the country side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ESDQ22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Impact on views from the countryside must be minimised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ESDQ23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Streets must be designed as pleasant places to be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ESDQ24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Pedestrian &amp; Cycle routes must link together potential destinations such a new housing, town centre, doctors, commercial areas.</w:t>
            </w:r>
          </w:p>
        </w:tc>
      </w:tr>
      <w:tr w:rsidR="00B31BFD" w:rsidRPr="004E428A" w:rsidTr="00B31BFD">
        <w:trPr>
          <w:trHeight w:val="70"/>
        </w:trPr>
        <w:tc>
          <w:tcPr>
            <w:tcW w:w="1271" w:type="dxa"/>
          </w:tcPr>
          <w:p w:rsidR="00B31BFD" w:rsidRPr="004E428A" w:rsidRDefault="00B31BFD" w:rsidP="000274DF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ESDQ25</w:t>
            </w:r>
          </w:p>
        </w:tc>
        <w:tc>
          <w:tcPr>
            <w:tcW w:w="8300" w:type="dxa"/>
          </w:tcPr>
          <w:p w:rsidR="00B31BFD" w:rsidRPr="004E428A" w:rsidRDefault="00B31BFD" w:rsidP="00814B5A">
            <w:pPr>
              <w:rPr>
                <w:rFonts w:ascii="Arial" w:hAnsi="Arial" w:cs="Arial"/>
              </w:rPr>
            </w:pPr>
            <w:r w:rsidRPr="004E428A">
              <w:rPr>
                <w:rFonts w:ascii="Arial" w:hAnsi="Arial" w:cs="Arial"/>
              </w:rPr>
              <w:t>Improve Town Centre for pedestrians &amp; cyclists.</w:t>
            </w:r>
          </w:p>
        </w:tc>
      </w:tr>
    </w:tbl>
    <w:p w:rsidR="00B22245" w:rsidRDefault="00B22245" w:rsidP="000274DF">
      <w:pPr>
        <w:spacing w:line="240" w:lineRule="auto"/>
        <w:rPr>
          <w:rFonts w:ascii="Arial" w:hAnsi="Arial" w:cs="Arial"/>
          <w:b/>
          <w:bCs/>
        </w:rPr>
      </w:pPr>
    </w:p>
    <w:p w:rsidR="009759DB" w:rsidRPr="004E428A" w:rsidRDefault="009759DB" w:rsidP="000274DF">
      <w:pPr>
        <w:spacing w:line="240" w:lineRule="auto"/>
        <w:rPr>
          <w:rFonts w:ascii="Arial" w:hAnsi="Arial" w:cs="Arial"/>
          <w:b/>
          <w:bCs/>
        </w:rPr>
      </w:pPr>
      <w:r w:rsidRPr="004E428A">
        <w:rPr>
          <w:rFonts w:ascii="Arial" w:hAnsi="Arial" w:cs="Arial"/>
          <w:b/>
          <w:bCs/>
        </w:rPr>
        <w:t>Deliverables</w:t>
      </w:r>
    </w:p>
    <w:p w:rsidR="00437FED" w:rsidRPr="004E428A" w:rsidRDefault="009759DB" w:rsidP="000274DF">
      <w:pPr>
        <w:spacing w:line="240" w:lineRule="auto"/>
        <w:rPr>
          <w:rFonts w:ascii="Arial" w:hAnsi="Arial" w:cs="Arial"/>
          <w:bCs/>
        </w:rPr>
      </w:pPr>
      <w:r w:rsidRPr="004E428A">
        <w:rPr>
          <w:rFonts w:ascii="Arial" w:hAnsi="Arial" w:cs="Arial"/>
          <w:bCs/>
        </w:rPr>
        <w:t xml:space="preserve">A Green Living Plan </w:t>
      </w:r>
      <w:r w:rsidR="00437FED" w:rsidRPr="004E428A">
        <w:rPr>
          <w:rFonts w:ascii="Arial" w:hAnsi="Arial" w:cs="Arial"/>
          <w:bCs/>
        </w:rPr>
        <w:t>in conjunction with the RSA.</w:t>
      </w:r>
    </w:p>
    <w:p w:rsidR="000274DF" w:rsidRPr="004E428A" w:rsidRDefault="000274DF" w:rsidP="000274DF">
      <w:pPr>
        <w:spacing w:line="240" w:lineRule="auto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>Immediate priorities - Delivery Plan</w:t>
      </w:r>
    </w:p>
    <w:p w:rsidR="000274DF" w:rsidRPr="004E428A" w:rsidRDefault="000274DF" w:rsidP="00B31BFD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Examine Transport strategies provided by developers of all new sites strategic or windfall and ensure that they meet requirements of the TNP while building and landscaping is in progress.</w:t>
      </w:r>
    </w:p>
    <w:p w:rsidR="000274DF" w:rsidRPr="004E428A" w:rsidRDefault="000274DF" w:rsidP="00B31BFD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Appoint /</w:t>
      </w:r>
      <w:r w:rsidR="00C740A9">
        <w:rPr>
          <w:rFonts w:ascii="Arial" w:hAnsi="Arial" w:cs="Arial"/>
        </w:rPr>
        <w:t>find a Travel Plan co-ordinator</w:t>
      </w:r>
      <w:r w:rsidRPr="004E428A">
        <w:rPr>
          <w:rFonts w:ascii="Arial" w:hAnsi="Arial" w:cs="Arial"/>
        </w:rPr>
        <w:t xml:space="preserve"> as described in TNP.</w:t>
      </w:r>
    </w:p>
    <w:p w:rsidR="000274DF" w:rsidRPr="004E428A" w:rsidRDefault="000274DF" w:rsidP="00B31BFD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Monitor developments in progress for compliance with the policies of the TNP e.g. Design of footpaths and cycle paths and connections to the town.</w:t>
      </w:r>
    </w:p>
    <w:p w:rsidR="000274DF" w:rsidRPr="004E428A" w:rsidRDefault="000274DF" w:rsidP="00B31BFD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Pursue the implementation of the Cycle path to </w:t>
      </w:r>
      <w:proofErr w:type="spellStart"/>
      <w:r w:rsidRPr="004E428A">
        <w:rPr>
          <w:rFonts w:ascii="Arial" w:hAnsi="Arial" w:cs="Arial"/>
        </w:rPr>
        <w:t>Haddenham</w:t>
      </w:r>
      <w:proofErr w:type="spellEnd"/>
      <w:r w:rsidRPr="004E428A">
        <w:rPr>
          <w:rFonts w:ascii="Arial" w:hAnsi="Arial" w:cs="Arial"/>
        </w:rPr>
        <w:t xml:space="preserve"> and Thame station, ensuring the best user friendly route. </w:t>
      </w:r>
      <w:r w:rsidR="00337B88" w:rsidRPr="004E428A">
        <w:rPr>
          <w:rFonts w:ascii="Arial" w:hAnsi="Arial" w:cs="Arial"/>
        </w:rPr>
        <w:t xml:space="preserve"> </w:t>
      </w:r>
      <w:r w:rsidRPr="004E428A">
        <w:rPr>
          <w:rFonts w:ascii="Arial" w:hAnsi="Arial" w:cs="Arial"/>
        </w:rPr>
        <w:t>Aid negotiation with landowners and</w:t>
      </w:r>
      <w:r w:rsidR="00B31BFD" w:rsidRPr="004E428A">
        <w:rPr>
          <w:rFonts w:ascii="Arial" w:hAnsi="Arial" w:cs="Arial"/>
        </w:rPr>
        <w:t xml:space="preserve"> facilitate its implementation.</w:t>
      </w:r>
    </w:p>
    <w:p w:rsidR="000274DF" w:rsidRPr="004E428A" w:rsidRDefault="000274DF" w:rsidP="00B31BFD">
      <w:pPr>
        <w:spacing w:line="240" w:lineRule="auto"/>
        <w:jc w:val="both"/>
        <w:rPr>
          <w:rFonts w:ascii="Arial" w:hAnsi="Arial" w:cs="Arial"/>
        </w:rPr>
      </w:pPr>
      <w:proofErr w:type="gramStart"/>
      <w:r w:rsidRPr="004E428A">
        <w:rPr>
          <w:rFonts w:ascii="Arial" w:hAnsi="Arial" w:cs="Arial"/>
        </w:rPr>
        <w:t>Monitoring of projects and future action to be reviewed during the life of the TNP</w:t>
      </w:r>
      <w:r w:rsidR="00B31BFD" w:rsidRPr="004E428A">
        <w:rPr>
          <w:rFonts w:ascii="Arial" w:hAnsi="Arial" w:cs="Arial"/>
        </w:rPr>
        <w:t>.</w:t>
      </w:r>
      <w:proofErr w:type="gramEnd"/>
    </w:p>
    <w:p w:rsidR="00CA2FCB" w:rsidRPr="004E428A" w:rsidRDefault="00CA2FCB" w:rsidP="00B31BFD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Ensuring public open spaces identified in TNP are provided.</w:t>
      </w:r>
    </w:p>
    <w:p w:rsidR="000274DF" w:rsidRDefault="00B22245" w:rsidP="000274DF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Establishing a Thame energy strategy.</w:t>
      </w:r>
      <w:proofErr w:type="gramEnd"/>
    </w:p>
    <w:p w:rsidR="00B22245" w:rsidRPr="004E428A" w:rsidRDefault="00B22245" w:rsidP="000274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Establish an </w:t>
      </w:r>
      <w:proofErr w:type="spellStart"/>
      <w:r>
        <w:rPr>
          <w:rFonts w:ascii="Arial" w:hAnsi="Arial" w:cs="Arial"/>
        </w:rPr>
        <w:t>Enviornmental</w:t>
      </w:r>
      <w:proofErr w:type="spellEnd"/>
      <w:r>
        <w:rPr>
          <w:rFonts w:ascii="Arial" w:hAnsi="Arial" w:cs="Arial"/>
        </w:rPr>
        <w:t xml:space="preserve"> Policy for Thame Town </w:t>
      </w:r>
      <w:proofErr w:type="spellStart"/>
      <w:r>
        <w:rPr>
          <w:rFonts w:ascii="Arial" w:hAnsi="Arial" w:cs="Arial"/>
        </w:rPr>
        <w:t>Counci</w:t>
      </w:r>
      <w:r w:rsidR="0028466D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proofErr w:type="spellEnd"/>
    </w:p>
    <w:p w:rsidR="000274DF" w:rsidRPr="004E428A" w:rsidRDefault="000274DF" w:rsidP="00BC12A9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>Scope / Jurisdiction</w:t>
      </w:r>
    </w:p>
    <w:p w:rsidR="000274DF" w:rsidRPr="004E428A" w:rsidRDefault="000274DF" w:rsidP="00BC12A9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The Group is required to:</w:t>
      </w:r>
    </w:p>
    <w:p w:rsidR="00B31BFD" w:rsidRPr="004E428A" w:rsidRDefault="00B31BFD" w:rsidP="00BC12A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Only work on projects within </w:t>
      </w:r>
      <w:r w:rsidR="0028466D">
        <w:rPr>
          <w:rFonts w:ascii="Arial" w:hAnsi="Arial" w:cs="Arial"/>
        </w:rPr>
        <w:t xml:space="preserve">(or impacting on) </w:t>
      </w:r>
      <w:r w:rsidRPr="004E428A">
        <w:rPr>
          <w:rFonts w:ascii="Arial" w:hAnsi="Arial" w:cs="Arial"/>
        </w:rPr>
        <w:t>Thame civic parish</w:t>
      </w:r>
    </w:p>
    <w:p w:rsidR="00B31BFD" w:rsidRPr="004E428A" w:rsidRDefault="00B31BFD" w:rsidP="009759DB">
      <w:pPr>
        <w:pStyle w:val="ListParagraph"/>
        <w:numPr>
          <w:ilvl w:val="0"/>
          <w:numId w:val="2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Provide an update report to each meeting of the Neighbourhood Plan Continuity Committee and to contribute</w:t>
      </w:r>
      <w:r w:rsidR="00437FED" w:rsidRPr="004E428A">
        <w:rPr>
          <w:rFonts w:ascii="Arial" w:hAnsi="Arial" w:cs="Arial"/>
        </w:rPr>
        <w:t xml:space="preserve"> to the Neighbourhood Plan Monit</w:t>
      </w:r>
      <w:r w:rsidRPr="004E428A">
        <w:rPr>
          <w:rFonts w:ascii="Arial" w:hAnsi="Arial" w:cs="Arial"/>
        </w:rPr>
        <w:t>oring Report.</w:t>
      </w:r>
    </w:p>
    <w:p w:rsidR="0028466D" w:rsidRDefault="002846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59DB" w:rsidRPr="002176B6" w:rsidRDefault="009759DB" w:rsidP="002176B6">
      <w:pPr>
        <w:spacing w:line="240" w:lineRule="auto"/>
        <w:jc w:val="both"/>
        <w:rPr>
          <w:rFonts w:ascii="Arial" w:hAnsi="Arial" w:cs="Arial"/>
          <w:b/>
          <w:bCs/>
        </w:rPr>
      </w:pPr>
      <w:r w:rsidRPr="002176B6">
        <w:rPr>
          <w:rFonts w:ascii="Arial" w:hAnsi="Arial" w:cs="Arial"/>
          <w:b/>
          <w:bCs/>
        </w:rPr>
        <w:lastRenderedPageBreak/>
        <w:t>Guidance from the Council / Parent Committee</w:t>
      </w:r>
    </w:p>
    <w:p w:rsidR="000274DF" w:rsidRPr="004E428A" w:rsidRDefault="009759DB" w:rsidP="009759DB">
      <w:pPr>
        <w:spacing w:line="240" w:lineRule="auto"/>
        <w:jc w:val="both"/>
        <w:rPr>
          <w:rFonts w:ascii="Arial" w:hAnsi="Arial" w:cs="Arial"/>
        </w:rPr>
      </w:pPr>
      <w:proofErr w:type="gramStart"/>
      <w:r w:rsidRPr="004E428A">
        <w:rPr>
          <w:rFonts w:ascii="Arial" w:hAnsi="Arial" w:cs="Arial"/>
        </w:rPr>
        <w:t>Provided a</w:t>
      </w:r>
      <w:r w:rsidR="004E428A">
        <w:rPr>
          <w:rFonts w:ascii="Arial" w:hAnsi="Arial" w:cs="Arial"/>
        </w:rPr>
        <w:t>t initial resolution and after</w:t>
      </w:r>
      <w:r w:rsidRPr="004E428A">
        <w:rPr>
          <w:rFonts w:ascii="Arial" w:hAnsi="Arial" w:cs="Arial"/>
        </w:rPr>
        <w:t xml:space="preserve"> each </w:t>
      </w:r>
      <w:r w:rsidR="004E428A">
        <w:rPr>
          <w:rFonts w:ascii="Arial" w:hAnsi="Arial" w:cs="Arial"/>
        </w:rPr>
        <w:t xml:space="preserve">meeting </w:t>
      </w:r>
      <w:r w:rsidR="00375629">
        <w:rPr>
          <w:rFonts w:ascii="Arial" w:hAnsi="Arial" w:cs="Arial"/>
        </w:rPr>
        <w:t>report back to the p</w:t>
      </w:r>
      <w:r w:rsidRPr="004E428A">
        <w:rPr>
          <w:rFonts w:ascii="Arial" w:hAnsi="Arial" w:cs="Arial"/>
        </w:rPr>
        <w:t>arent Committee.</w:t>
      </w:r>
      <w:proofErr w:type="gramEnd"/>
    </w:p>
    <w:p w:rsidR="000274DF" w:rsidRPr="004E428A" w:rsidRDefault="000274DF" w:rsidP="00BC12A9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 xml:space="preserve">Resources </w:t>
      </w:r>
      <w:r w:rsidR="00BC12A9" w:rsidRPr="004E428A">
        <w:rPr>
          <w:rFonts w:ascii="Arial" w:hAnsi="Arial" w:cs="Arial"/>
          <w:b/>
          <w:bCs/>
        </w:rPr>
        <w:t>and Budget</w:t>
      </w:r>
    </w:p>
    <w:p w:rsidR="000274DF" w:rsidRPr="004E428A" w:rsidRDefault="00BC12A9" w:rsidP="00BC12A9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The Group will be allowed the use of </w:t>
      </w:r>
      <w:r w:rsidR="000274DF" w:rsidRPr="004E428A">
        <w:rPr>
          <w:rFonts w:ascii="Arial" w:hAnsi="Arial" w:cs="Arial"/>
        </w:rPr>
        <w:t>Town Council meeting rooms, administration resources</w:t>
      </w:r>
      <w:r w:rsidRPr="004E428A">
        <w:rPr>
          <w:rFonts w:ascii="Arial" w:hAnsi="Arial" w:cs="Arial"/>
        </w:rPr>
        <w:t xml:space="preserve"> and officer time as required.  Any funding authoris</w:t>
      </w:r>
      <w:r w:rsidR="00375629">
        <w:rPr>
          <w:rFonts w:ascii="Arial" w:hAnsi="Arial" w:cs="Arial"/>
        </w:rPr>
        <w:t>ati</w:t>
      </w:r>
      <w:bookmarkStart w:id="0" w:name="_GoBack"/>
      <w:bookmarkEnd w:id="0"/>
      <w:r w:rsidR="00375629">
        <w:rPr>
          <w:rFonts w:ascii="Arial" w:hAnsi="Arial" w:cs="Arial"/>
        </w:rPr>
        <w:t>on is to be sought from the p</w:t>
      </w:r>
      <w:r w:rsidRPr="004E428A">
        <w:rPr>
          <w:rFonts w:ascii="Arial" w:hAnsi="Arial" w:cs="Arial"/>
        </w:rPr>
        <w:t>arent Committee or F</w:t>
      </w:r>
      <w:r w:rsidR="000274DF" w:rsidRPr="004E428A">
        <w:rPr>
          <w:rFonts w:ascii="Arial" w:hAnsi="Arial" w:cs="Arial"/>
        </w:rPr>
        <w:t>ull Council.</w:t>
      </w:r>
    </w:p>
    <w:p w:rsidR="000274DF" w:rsidRPr="004E428A" w:rsidRDefault="00BC12A9" w:rsidP="00BC12A9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  <w:b/>
          <w:bCs/>
        </w:rPr>
        <w:t>Governance</w:t>
      </w:r>
    </w:p>
    <w:p w:rsidR="000274DF" w:rsidRPr="004E428A" w:rsidRDefault="00BC12A9" w:rsidP="00BC12A9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 xml:space="preserve">Decisions to be </w:t>
      </w:r>
      <w:r w:rsidR="000274DF" w:rsidRPr="004E428A">
        <w:rPr>
          <w:rFonts w:ascii="Arial" w:hAnsi="Arial" w:cs="Arial"/>
        </w:rPr>
        <w:t>agreed mostly by consensus, but where necessary a majority vote of those present, with Chairperson’s casting vote if necessary.</w:t>
      </w:r>
    </w:p>
    <w:p w:rsidR="000274DF" w:rsidRPr="004E428A" w:rsidRDefault="00BC12A9" w:rsidP="00BC12A9">
      <w:pPr>
        <w:spacing w:line="240" w:lineRule="auto"/>
        <w:jc w:val="both"/>
        <w:rPr>
          <w:rFonts w:ascii="Arial" w:hAnsi="Arial" w:cs="Arial"/>
          <w:b/>
          <w:bCs/>
        </w:rPr>
      </w:pPr>
      <w:r w:rsidRPr="004E428A">
        <w:rPr>
          <w:rFonts w:ascii="Arial" w:hAnsi="Arial" w:cs="Arial"/>
          <w:b/>
          <w:bCs/>
        </w:rPr>
        <w:t>Additional Notes</w:t>
      </w:r>
    </w:p>
    <w:p w:rsidR="00BC12A9" w:rsidRPr="004E428A" w:rsidRDefault="00BC12A9" w:rsidP="00BC12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Methods of work (e.g. consultations, press releases, surveys, progress reports, letters, etc) are entirely up to the Working Group to decide.</w:t>
      </w:r>
    </w:p>
    <w:p w:rsidR="00BC12A9" w:rsidRPr="004E428A" w:rsidRDefault="00BC12A9" w:rsidP="00BC12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The Group will communicate through email, phone and meetings, both formally and informally.</w:t>
      </w:r>
    </w:p>
    <w:p w:rsidR="00BC12A9" w:rsidRPr="004E428A" w:rsidRDefault="00BC12A9" w:rsidP="00BC12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Relevant documentation is stored in the Neighbourhood Plan Continuity Committee folder on the Town Council IT data store, plus in an email store within the Town Clerk’s email folders.</w:t>
      </w:r>
    </w:p>
    <w:p w:rsidR="00BC12A9" w:rsidRPr="004E428A" w:rsidRDefault="00BC12A9" w:rsidP="00BC12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The Group will meet at a frequency required to ensure progress as required.</w:t>
      </w:r>
    </w:p>
    <w:p w:rsidR="00BC12A9" w:rsidRPr="004E428A" w:rsidRDefault="00BC12A9" w:rsidP="00BC12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Sub-groups (with other nominated members) can be created as necessary to progress specific items.</w:t>
      </w:r>
    </w:p>
    <w:p w:rsidR="00BC12A9" w:rsidRPr="004E428A" w:rsidRDefault="00BC12A9" w:rsidP="00BC12A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The Working Group’s work is complete when it has achieved all the deliverables to the satisfaction of the parent Committee.</w:t>
      </w:r>
    </w:p>
    <w:p w:rsidR="000274DF" w:rsidRPr="004E428A" w:rsidRDefault="000274DF" w:rsidP="00BC12A9">
      <w:pPr>
        <w:spacing w:line="240" w:lineRule="auto"/>
        <w:jc w:val="both"/>
        <w:rPr>
          <w:rFonts w:ascii="Arial" w:hAnsi="Arial" w:cs="Arial"/>
        </w:rPr>
      </w:pPr>
      <w:r w:rsidRPr="004E428A">
        <w:rPr>
          <w:rFonts w:ascii="Arial" w:hAnsi="Arial" w:cs="Arial"/>
        </w:rPr>
        <w:t>These Ter</w:t>
      </w:r>
      <w:r w:rsidR="00BC12A9" w:rsidRPr="004E428A">
        <w:rPr>
          <w:rFonts w:ascii="Arial" w:hAnsi="Arial" w:cs="Arial"/>
        </w:rPr>
        <w:t xml:space="preserve">ms of Reference may be reviewed and changed as necessary by the Working Group </w:t>
      </w:r>
      <w:r w:rsidRPr="004E428A">
        <w:rPr>
          <w:rFonts w:ascii="Arial" w:hAnsi="Arial" w:cs="Arial"/>
        </w:rPr>
        <w:t>in the light of additional information, with significant changes requi</w:t>
      </w:r>
      <w:r w:rsidR="00BC12A9" w:rsidRPr="004E428A">
        <w:rPr>
          <w:rFonts w:ascii="Arial" w:hAnsi="Arial" w:cs="Arial"/>
        </w:rPr>
        <w:t xml:space="preserve">ring authorisation by </w:t>
      </w:r>
      <w:r w:rsidRPr="004E428A">
        <w:rPr>
          <w:rFonts w:ascii="Arial" w:hAnsi="Arial" w:cs="Arial"/>
        </w:rPr>
        <w:t>the parent Committee.</w:t>
      </w:r>
    </w:p>
    <w:sectPr w:rsidR="000274DF" w:rsidRPr="004E428A" w:rsidSect="004E428A">
      <w:footerReference w:type="default" r:id="rId8"/>
      <w:pgSz w:w="11906" w:h="16838"/>
      <w:pgMar w:top="1021" w:right="1134" w:bottom="1021" w:left="119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8A" w:rsidRDefault="004E428A" w:rsidP="004E428A">
      <w:pPr>
        <w:spacing w:after="0" w:line="240" w:lineRule="auto"/>
      </w:pPr>
      <w:r>
        <w:separator/>
      </w:r>
    </w:p>
  </w:endnote>
  <w:endnote w:type="continuationSeparator" w:id="0">
    <w:p w:rsidR="004E428A" w:rsidRDefault="004E428A" w:rsidP="004E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B6" w:rsidRPr="001E0B1C" w:rsidRDefault="002176B6" w:rsidP="002176B6">
    <w:pPr>
      <w:pStyle w:val="Footer"/>
      <w:tabs>
        <w:tab w:val="center" w:pos="4820"/>
        <w:tab w:val="right" w:pos="1008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Updated 27-09-16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 w:rsidRPr="001E0B1C">
      <w:rPr>
        <w:rFonts w:ascii="Arial" w:hAnsi="Arial" w:cs="Arial"/>
        <w:sz w:val="18"/>
      </w:rPr>
      <w:t xml:space="preserve">Page </w:t>
    </w:r>
    <w:r w:rsidRPr="001E0B1C">
      <w:rPr>
        <w:rFonts w:ascii="Arial" w:hAnsi="Arial" w:cs="Arial"/>
        <w:sz w:val="18"/>
      </w:rPr>
      <w:fldChar w:fldCharType="begin"/>
    </w:r>
    <w:r w:rsidRPr="001E0B1C">
      <w:rPr>
        <w:rFonts w:ascii="Arial" w:hAnsi="Arial" w:cs="Arial"/>
        <w:sz w:val="18"/>
      </w:rPr>
      <w:instrText xml:space="preserve"> PAGE  \* MERGEFORMAT </w:instrText>
    </w:r>
    <w:r w:rsidRPr="001E0B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1E0B1C">
      <w:rPr>
        <w:rFonts w:ascii="Arial" w:hAnsi="Arial" w:cs="Arial"/>
        <w:sz w:val="18"/>
      </w:rPr>
      <w:fldChar w:fldCharType="end"/>
    </w:r>
    <w:r w:rsidRPr="001E0B1C">
      <w:rPr>
        <w:rFonts w:ascii="Arial" w:hAnsi="Arial" w:cs="Arial"/>
        <w:sz w:val="18"/>
      </w:rPr>
      <w:t xml:space="preserve"> of </w:t>
    </w:r>
    <w:r w:rsidRPr="001E0B1C">
      <w:rPr>
        <w:rFonts w:ascii="Arial" w:hAnsi="Arial" w:cs="Arial"/>
        <w:sz w:val="18"/>
      </w:rPr>
      <w:fldChar w:fldCharType="begin"/>
    </w:r>
    <w:r w:rsidRPr="001E0B1C">
      <w:rPr>
        <w:rFonts w:ascii="Arial" w:hAnsi="Arial" w:cs="Arial"/>
        <w:sz w:val="18"/>
      </w:rPr>
      <w:instrText xml:space="preserve"> NUMPAGES  \* MERGEFORMAT </w:instrText>
    </w:r>
    <w:r w:rsidRPr="001E0B1C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3</w:t>
    </w:r>
    <w:r w:rsidRPr="001E0B1C">
      <w:rPr>
        <w:rFonts w:ascii="Arial" w:hAnsi="Arial" w:cs="Arial"/>
        <w:sz w:val="18"/>
      </w:rPr>
      <w:fldChar w:fldCharType="end"/>
    </w:r>
  </w:p>
  <w:p w:rsidR="00AD2467" w:rsidRDefault="00AD2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8A" w:rsidRDefault="004E428A" w:rsidP="004E428A">
      <w:pPr>
        <w:spacing w:after="0" w:line="240" w:lineRule="auto"/>
      </w:pPr>
      <w:r>
        <w:separator/>
      </w:r>
    </w:p>
  </w:footnote>
  <w:footnote w:type="continuationSeparator" w:id="0">
    <w:p w:rsidR="004E428A" w:rsidRDefault="004E428A" w:rsidP="004E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E92"/>
    <w:multiLevelType w:val="hybridMultilevel"/>
    <w:tmpl w:val="4246D0DA"/>
    <w:lvl w:ilvl="0" w:tplc="01988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5C6"/>
    <w:multiLevelType w:val="hybridMultilevel"/>
    <w:tmpl w:val="34B69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6581"/>
    <w:multiLevelType w:val="hybridMultilevel"/>
    <w:tmpl w:val="D816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C67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00A82"/>
    <w:multiLevelType w:val="hybridMultilevel"/>
    <w:tmpl w:val="9694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036E"/>
    <w:multiLevelType w:val="hybridMultilevel"/>
    <w:tmpl w:val="7E9CB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393ED8"/>
    <w:multiLevelType w:val="hybridMultilevel"/>
    <w:tmpl w:val="6DCCB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DF"/>
    <w:rsid w:val="00010316"/>
    <w:rsid w:val="000274DF"/>
    <w:rsid w:val="000B0536"/>
    <w:rsid w:val="002176B6"/>
    <w:rsid w:val="00225D2E"/>
    <w:rsid w:val="0028466D"/>
    <w:rsid w:val="00337B88"/>
    <w:rsid w:val="00375629"/>
    <w:rsid w:val="00437FED"/>
    <w:rsid w:val="004A0CBD"/>
    <w:rsid w:val="004B6358"/>
    <w:rsid w:val="004E428A"/>
    <w:rsid w:val="005D5D1B"/>
    <w:rsid w:val="00761847"/>
    <w:rsid w:val="00814B5A"/>
    <w:rsid w:val="0086411A"/>
    <w:rsid w:val="009759DB"/>
    <w:rsid w:val="00AD2467"/>
    <w:rsid w:val="00AE700A"/>
    <w:rsid w:val="00B22245"/>
    <w:rsid w:val="00B27A3B"/>
    <w:rsid w:val="00B31BFD"/>
    <w:rsid w:val="00B9770B"/>
    <w:rsid w:val="00BC12A9"/>
    <w:rsid w:val="00C05C65"/>
    <w:rsid w:val="00C740A9"/>
    <w:rsid w:val="00CA2FCB"/>
    <w:rsid w:val="00CE640F"/>
    <w:rsid w:val="00D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DF"/>
    <w:pPr>
      <w:ind w:left="720"/>
      <w:contextualSpacing/>
    </w:pPr>
  </w:style>
  <w:style w:type="table" w:styleId="TableGrid">
    <w:name w:val="Table Grid"/>
    <w:basedOn w:val="TableNormal"/>
    <w:uiPriority w:val="39"/>
    <w:rsid w:val="0081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8A"/>
  </w:style>
  <w:style w:type="paragraph" w:styleId="Footer">
    <w:name w:val="footer"/>
    <w:basedOn w:val="Normal"/>
    <w:link w:val="FooterChar"/>
    <w:unhideWhenUsed/>
    <w:rsid w:val="004E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4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DF"/>
    <w:pPr>
      <w:ind w:left="720"/>
      <w:contextualSpacing/>
    </w:pPr>
  </w:style>
  <w:style w:type="table" w:styleId="TableGrid">
    <w:name w:val="Table Grid"/>
    <w:basedOn w:val="TableNormal"/>
    <w:uiPriority w:val="39"/>
    <w:rsid w:val="0081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8A"/>
  </w:style>
  <w:style w:type="paragraph" w:styleId="Footer">
    <w:name w:val="footer"/>
    <w:basedOn w:val="Normal"/>
    <w:link w:val="FooterChar"/>
    <w:unhideWhenUsed/>
    <w:rsid w:val="004E4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E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Oughton</dc:creator>
  <cp:lastModifiedBy>Graham Hunt (Clerk)</cp:lastModifiedBy>
  <cp:revision>3</cp:revision>
  <cp:lastPrinted>2015-11-23T10:31:00Z</cp:lastPrinted>
  <dcterms:created xsi:type="dcterms:W3CDTF">2016-08-25T13:19:00Z</dcterms:created>
  <dcterms:modified xsi:type="dcterms:W3CDTF">2016-08-25T13:27:00Z</dcterms:modified>
</cp:coreProperties>
</file>